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1BC86DC2" w14:textId="661C9330"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9E7B33">
        <w:rPr>
          <w:b/>
          <w:sz w:val="24"/>
        </w:rPr>
        <w:t>DVB-MABR: Dynamic Adaptive Streaming for IP Multicast</w:t>
      </w:r>
    </w:p>
    <w:p w14:paraId="49F0D71D" w14:textId="311AE766" w:rsidR="005B52C3" w:rsidRPr="00E72B10" w:rsidRDefault="005B52C3" w:rsidP="00871DCF">
      <w:pPr>
        <w:tabs>
          <w:tab w:val="left" w:pos="2127"/>
        </w:tabs>
        <w:ind w:left="2131" w:hanging="2131"/>
      </w:pPr>
      <w:r w:rsidRPr="00E72B10">
        <w:rPr>
          <w:b/>
          <w:sz w:val="24"/>
        </w:rPr>
        <w:t>Agenda Item:</w:t>
      </w:r>
      <w:r w:rsidRPr="00E72B10">
        <w:rPr>
          <w:b/>
          <w:sz w:val="24"/>
        </w:rPr>
        <w:tab/>
      </w:r>
      <w:r w:rsidR="00495F8D">
        <w:rPr>
          <w:b/>
          <w:sz w:val="24"/>
        </w:rPr>
        <w:t>4</w:t>
      </w:r>
      <w:r w:rsidR="00A73BC7">
        <w:rPr>
          <w:b/>
          <w:sz w:val="24"/>
        </w:rPr>
        <w:t xml:space="preserve"> (</w:t>
      </w:r>
      <w:r w:rsidR="009E7B33">
        <w:rPr>
          <w:b/>
          <w:sz w:val="24"/>
        </w:rPr>
        <w:t>FS_5GMS_Multicast</w:t>
      </w:r>
      <w:r w:rsidR="00A73BC7">
        <w:rPr>
          <w:b/>
          <w:sz w:val="24"/>
        </w:rPr>
        <w:t>)</w:t>
      </w:r>
    </w:p>
    <w:p w14:paraId="377941FC" w14:textId="77777777" w:rsidR="00D54E12" w:rsidRPr="00E72B10" w:rsidRDefault="00D54E12" w:rsidP="0038551D">
      <w:pPr>
        <w:pBdr>
          <w:top w:val="single" w:sz="12" w:space="1" w:color="auto"/>
        </w:pBdr>
        <w:spacing w:after="0" w:line="240" w:lineRule="auto"/>
        <w:rPr>
          <w:sz w:val="20"/>
        </w:rPr>
      </w:pPr>
    </w:p>
    <w:p w14:paraId="1C1A3C7E" w14:textId="77777777" w:rsidR="00793209" w:rsidRDefault="00793209" w:rsidP="00793209">
      <w:pPr>
        <w:pStyle w:val="Heading1"/>
      </w:pPr>
      <w:r>
        <w:t>About the DVB Project</w:t>
      </w:r>
    </w:p>
    <w:p w14:paraId="54F153D8" w14:textId="0C42FED7" w:rsidR="00387A3E" w:rsidRDefault="00387A3E" w:rsidP="00793209">
      <w:r>
        <w:t xml:space="preserve">Formed in 1993, the </w:t>
      </w:r>
      <w:r w:rsidRPr="00387A3E">
        <w:t xml:space="preserve">DVB </w:t>
      </w:r>
      <w:r>
        <w:t xml:space="preserve">Project </w:t>
      </w:r>
      <w:r w:rsidRPr="00387A3E">
        <w:t>is an industry-led consortium of broadcasters, manufacturers, network operators, software developers, regulators and others from around the world committed to designing open, interoperable technical specifications for the global delivery of digital media and broadcast services. DVB specifications cover all aspects of digital television from transmission through interfacing, conditional access and interactivity for digital video, audio and data. DVB dominates the digital broadcasting environment with thousands of broadcast services around the world using DVB specifications. There are hundreds of manufacturers offering DVB-compliant equipment. To date, there are over 1 billion DVB receivers shipped worldwide.</w:t>
      </w:r>
    </w:p>
    <w:p w14:paraId="358F7ED9" w14:textId="7972B55E" w:rsidR="00793209" w:rsidRDefault="00387A3E" w:rsidP="00793209">
      <w:r>
        <w:t xml:space="preserve">DVB </w:t>
      </w:r>
      <w:r w:rsidR="00793209">
        <w:t>specifications are published</w:t>
      </w:r>
      <w:r w:rsidR="00793209" w:rsidRPr="00D50BA2">
        <w:t xml:space="preserve"> through the European Telecommunications Standard</w:t>
      </w:r>
      <w:r w:rsidR="00793209">
        <w:t>s</w:t>
      </w:r>
      <w:r w:rsidR="00793209" w:rsidRPr="00D50BA2">
        <w:t xml:space="preserve"> Institute</w:t>
      </w:r>
      <w:r w:rsidR="00793209">
        <w:t xml:space="preserve"> (ETSI) through</w:t>
      </w:r>
      <w:r w:rsidR="00793209" w:rsidRPr="00D50BA2">
        <w:t xml:space="preserve"> </w:t>
      </w:r>
      <w:r w:rsidR="00793209">
        <w:t>a joint technical committee</w:t>
      </w:r>
      <w:r w:rsidR="00793209" w:rsidRPr="00D50BA2">
        <w:t xml:space="preserve"> </w:t>
      </w:r>
      <w:r w:rsidR="00793209">
        <w:t>with</w:t>
      </w:r>
      <w:r w:rsidR="00793209" w:rsidRPr="00D50BA2">
        <w:t xml:space="preserve"> </w:t>
      </w:r>
      <w:r w:rsidR="00793209">
        <w:t>the European Broadcasting Union (EBU</w:t>
      </w:r>
      <w:r w:rsidR="00670F1F">
        <w:noBreakHyphen/>
      </w:r>
      <w:r w:rsidR="00793209">
        <w:t xml:space="preserve">UER) and </w:t>
      </w:r>
      <w:r w:rsidR="00793209" w:rsidRPr="00D50BA2">
        <w:t>CENELEC</w:t>
      </w:r>
      <w:r w:rsidR="00793209">
        <w:t>.</w:t>
      </w:r>
    </w:p>
    <w:p w14:paraId="5D0212D6" w14:textId="77777777" w:rsidR="00793209" w:rsidRDefault="00793209" w:rsidP="00793209">
      <w:pPr>
        <w:pStyle w:val="Heading1"/>
      </w:pPr>
      <w:r>
        <w:t>Commercial requirements phase</w:t>
      </w:r>
    </w:p>
    <w:p w14:paraId="33998AF0" w14:textId="6526BC27" w:rsidR="00793209" w:rsidRDefault="00793209" w:rsidP="00793209">
      <w:r>
        <w:t>In mid-2015, the DVB Project initiated work to standardise the application of adaptive media streaming to IP multicast. The primary aim was to enable efficient mass distribution of linear and non-linear media across multicast-enabled IP networks while retaining broad compatibility with existing adaptive media packaging technologies, in particular DVB</w:t>
      </w:r>
      <w:r w:rsidR="001105C1">
        <w:noBreakHyphen/>
      </w:r>
      <w:r>
        <w:t>DASH</w:t>
      </w:r>
      <w:r w:rsidR="003D0DF9">
        <w:t xml:space="preserve"> [1]</w:t>
      </w:r>
      <w:r>
        <w:t>. A critical requirement was for existing DVB</w:t>
      </w:r>
      <w:r w:rsidR="003D0DF9">
        <w:noBreakHyphen/>
      </w:r>
      <w:r>
        <w:t>DASH media players to be able to consume the output of the new DVB</w:t>
      </w:r>
      <w:r>
        <w:noBreakHyphen/>
        <w:t>MABR system without modification. This combination of features allows consumption of streams by a wider range of end devices than the precursor DVB-IPTV specification</w:t>
      </w:r>
      <w:r w:rsidR="003D0DF9">
        <w:t xml:space="preserve"> [2]</w:t>
      </w:r>
      <w:r>
        <w:t>.</w:t>
      </w:r>
    </w:p>
    <w:p w14:paraId="2473E1F2" w14:textId="77777777" w:rsidR="00793209" w:rsidRDefault="00793209" w:rsidP="00793209">
      <w:r>
        <w:t>The system may be required to adapt to different access network conditions, in which case it was envisaged that several different DASH representations could be made available as different multicast media streams and a receiver could switch between them using conventional multicast subscription mechanisms.</w:t>
      </w:r>
    </w:p>
    <w:p w14:paraId="0CAFC2B4" w14:textId="5088CDD7" w:rsidR="00793209" w:rsidRDefault="00793209" w:rsidP="00793209">
      <w:r>
        <w:t xml:space="preserve">The use of IP multicast greatly reduces peak demand on unicast infrastructure, such as origin servers and CDN nodes, but there was a desire to knit multicast and unicast distribution together seamlessly. In particular, IP multicast transmission </w:t>
      </w:r>
      <w:r w:rsidR="00A75DED">
        <w:t xml:space="preserve">alone </w:t>
      </w:r>
      <w:r>
        <w:t>cannot guarantee reliable delivery, and unicast mechanisms therefore remain useful in recovering data lost in transit</w:t>
      </w:r>
      <w:r w:rsidR="0037384B">
        <w:t xml:space="preserve"> that cannot be recovered through other means (e.g. Forward Error/Erasure Correction)</w:t>
      </w:r>
      <w:r>
        <w:t>. Conventional unicast media distribution can also speed up the start of a streaming session and is therefore useful in achieving fast channel change.</w:t>
      </w:r>
    </w:p>
    <w:p w14:paraId="4DCD394C" w14:textId="77777777" w:rsidR="00793209" w:rsidRDefault="00793209" w:rsidP="00793209">
      <w:pPr>
        <w:pStyle w:val="Heading1"/>
      </w:pPr>
      <w:r>
        <w:t>Technical specification phase</w:t>
      </w:r>
    </w:p>
    <w:p w14:paraId="551C0481" w14:textId="572808F8" w:rsidR="00793209" w:rsidRDefault="00793209" w:rsidP="00793209">
      <w:r>
        <w:t>Having agreed commercial requirements, a first phase of technical specification work began in January 2017 and concluded three years later with the publication of DVB BlueBook A176 [</w:t>
      </w:r>
      <w:r w:rsidR="003D0DF9">
        <w:t>3</w:t>
      </w:r>
      <w:r>
        <w:t>], also known as the DVB</w:t>
      </w:r>
      <w:r>
        <w:noBreakHyphen/>
        <w:t>MABR Phase 1 technical specification.</w:t>
      </w:r>
    </w:p>
    <w:p w14:paraId="2EE5B848" w14:textId="77777777" w:rsidR="00793209" w:rsidRDefault="00793209" w:rsidP="00793209">
      <w:pPr>
        <w:sectPr w:rsidR="00793209">
          <w:headerReference w:type="default" r:id="rId11"/>
          <w:pgSz w:w="11906" w:h="16838"/>
          <w:pgMar w:top="1440" w:right="1440" w:bottom="1440" w:left="1440" w:header="708" w:footer="708" w:gutter="0"/>
          <w:cols w:space="708"/>
          <w:docGrid w:linePitch="360"/>
        </w:sectPr>
      </w:pPr>
    </w:p>
    <w:p w14:paraId="3DDB7FD1" w14:textId="77777777" w:rsidR="00793209" w:rsidRDefault="00793209" w:rsidP="00793209"/>
    <w:p w14:paraId="28C350B7" w14:textId="77777777" w:rsidR="00793209" w:rsidRDefault="00793209" w:rsidP="00793209">
      <w:pPr>
        <w:keepNext/>
        <w:jc w:val="center"/>
      </w:pPr>
      <w:r w:rsidRPr="00B6184A">
        <w:rPr>
          <w:noProof/>
        </w:rPr>
        <w:drawing>
          <wp:inline distT="0" distB="0" distL="0" distR="0" wp14:anchorId="37B291F8" wp14:editId="0FBAC5D9">
            <wp:extent cx="8514000" cy="5713200"/>
            <wp:effectExtent l="0" t="0" r="190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14000" cy="5713200"/>
                    </a:xfrm>
                    <a:prstGeom prst="rect">
                      <a:avLst/>
                    </a:prstGeom>
                    <a:noFill/>
                    <a:ln>
                      <a:noFill/>
                    </a:ln>
                  </pic:spPr>
                </pic:pic>
              </a:graphicData>
            </a:graphic>
          </wp:inline>
        </w:drawing>
      </w:r>
    </w:p>
    <w:p w14:paraId="67FC4383" w14:textId="77777777" w:rsidR="00793209" w:rsidRDefault="00793209" w:rsidP="00793209">
      <w:pPr>
        <w:pStyle w:val="Caption"/>
      </w:pPr>
      <w:r>
        <w:t xml:space="preserve">Figure </w:t>
      </w:r>
      <w:r>
        <w:fldChar w:fldCharType="begin"/>
      </w:r>
      <w:r>
        <w:instrText xml:space="preserve"> SEQ Figure \* ARABIC </w:instrText>
      </w:r>
      <w:r>
        <w:fldChar w:fldCharType="separate"/>
      </w:r>
      <w:r>
        <w:rPr>
          <w:noProof/>
        </w:rPr>
        <w:t>1</w:t>
      </w:r>
      <w:r>
        <w:fldChar w:fldCharType="end"/>
      </w:r>
      <w:r>
        <w:t>: DVB-MABR functional architecture</w:t>
      </w:r>
    </w:p>
    <w:p w14:paraId="53B6D9EC" w14:textId="77777777" w:rsidR="00793209" w:rsidRDefault="00793209" w:rsidP="00793209">
      <w:pPr>
        <w:sectPr w:rsidR="00793209" w:rsidSect="00683107">
          <w:pgSz w:w="16838" w:h="11906" w:orient="landscape"/>
          <w:pgMar w:top="720" w:right="720" w:bottom="720" w:left="720" w:header="708" w:footer="708" w:gutter="0"/>
          <w:cols w:space="708"/>
          <w:docGrid w:linePitch="360"/>
        </w:sectPr>
      </w:pPr>
    </w:p>
    <w:p w14:paraId="28D30AB4" w14:textId="77777777" w:rsidR="00793209" w:rsidRDefault="00793209" w:rsidP="00793209">
      <w:pPr>
        <w:pStyle w:val="Heading2"/>
      </w:pPr>
      <w:r>
        <w:lastRenderedPageBreak/>
        <w:t>Phase 1 technical specification (first edition)</w:t>
      </w:r>
    </w:p>
    <w:p w14:paraId="434E584F" w14:textId="4BA2CF4A" w:rsidR="00793209" w:rsidRDefault="00793209" w:rsidP="00793209">
      <w:r>
        <w:t xml:space="preserve">An interim first edition of DVB BlueBook A176, published in March 2018, specifies in its clause 4 a reference architecture for the system </w:t>
      </w:r>
      <w:r w:rsidRPr="00A41A5F">
        <w:t>expressed</w:t>
      </w:r>
      <w:r>
        <w:t xml:space="preserve"> as a set of logical functions and a set of named reference points at the interfaces between them. The model (see figure 1 on the previous page, and the simplified version in figure 2 below) includes all control plane and data plane aspects of an end-to-end DVB</w:t>
      </w:r>
      <w:r>
        <w:noBreakHyphen/>
        <w:t xml:space="preserve">MABR system. Control plane functions are shown as shaded boxes. Some interfaces and functions relevant to the wider ecosystem are included in the reference architecture to provide context, but are depicted with grey </w:t>
      </w:r>
      <w:r w:rsidR="0037384B">
        <w:t xml:space="preserve">outline and </w:t>
      </w:r>
      <w:r>
        <w:t>text to indicate that they are outside the scope of the DVB</w:t>
      </w:r>
      <w:r>
        <w:noBreakHyphen/>
        <w:t>MABR technical specification.</w:t>
      </w:r>
    </w:p>
    <w:p w14:paraId="2F9E9C07" w14:textId="77777777" w:rsidR="00793209" w:rsidRDefault="00793209" w:rsidP="0037384B">
      <w:pPr>
        <w:keepNext/>
        <w:jc w:val="center"/>
      </w:pPr>
      <w:r w:rsidRPr="00B6184A">
        <w:rPr>
          <w:noProof/>
        </w:rPr>
        <w:drawing>
          <wp:inline distT="0" distB="0" distL="0" distR="0" wp14:anchorId="2978C234" wp14:editId="00F9501E">
            <wp:extent cx="5875200" cy="394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200" cy="3945600"/>
                    </a:xfrm>
                    <a:prstGeom prst="rect">
                      <a:avLst/>
                    </a:prstGeom>
                    <a:noFill/>
                    <a:ln>
                      <a:noFill/>
                    </a:ln>
                  </pic:spPr>
                </pic:pic>
              </a:graphicData>
            </a:graphic>
          </wp:inline>
        </w:drawing>
      </w:r>
    </w:p>
    <w:p w14:paraId="72D47D66" w14:textId="77777777" w:rsidR="00793209" w:rsidRDefault="00793209" w:rsidP="00793209">
      <w:pPr>
        <w:pStyle w:val="Caption"/>
      </w:pPr>
      <w:r>
        <w:t xml:space="preserve">Figure </w:t>
      </w:r>
      <w:r>
        <w:fldChar w:fldCharType="begin"/>
      </w:r>
      <w:r>
        <w:instrText xml:space="preserve"> SEQ Figure \* ARABIC </w:instrText>
      </w:r>
      <w:r>
        <w:fldChar w:fldCharType="separate"/>
      </w:r>
      <w:r>
        <w:rPr>
          <w:noProof/>
        </w:rPr>
        <w:t>2</w:t>
      </w:r>
      <w:r>
        <w:fldChar w:fldCharType="end"/>
      </w:r>
      <w:r>
        <w:t>: Simplified</w:t>
      </w:r>
      <w:r w:rsidRPr="00182B8B">
        <w:t xml:space="preserve"> DVB-MABR functional architecture</w:t>
      </w:r>
    </w:p>
    <w:p w14:paraId="5CDBAF7C" w14:textId="77777777" w:rsidR="00793209" w:rsidRDefault="00793209" w:rsidP="00793209">
      <w:pPr>
        <w:keepNext/>
      </w:pPr>
      <w:r>
        <w:t xml:space="preserve">The primary data plane interface is </w:t>
      </w:r>
      <w:r w:rsidRPr="00BB4CE3">
        <w:rPr>
          <w:b/>
          <w:bCs/>
        </w:rPr>
        <w:t>M</w:t>
      </w:r>
      <w:r>
        <w:t xml:space="preserve"> over which multicast transport sessions are conveyed from a </w:t>
      </w:r>
      <w:r>
        <w:rPr>
          <w:i/>
          <w:iCs/>
        </w:rPr>
        <w:t>Multicast server</w:t>
      </w:r>
      <w:r>
        <w:t xml:space="preserve"> function to a population of </w:t>
      </w:r>
      <w:r>
        <w:rPr>
          <w:i/>
          <w:iCs/>
        </w:rPr>
        <w:t>Multicast gateway</w:t>
      </w:r>
      <w:r>
        <w:t xml:space="preserve"> functions.</w:t>
      </w:r>
    </w:p>
    <w:p w14:paraId="72E80495" w14:textId="1C820194" w:rsidR="00793209" w:rsidRDefault="00793209" w:rsidP="003D0DF9">
      <w:pPr>
        <w:pStyle w:val="ListParagraph"/>
        <w:keepNext/>
        <w:widowControl/>
        <w:numPr>
          <w:ilvl w:val="0"/>
          <w:numId w:val="9"/>
        </w:numPr>
        <w:spacing w:after="160" w:line="259" w:lineRule="auto"/>
      </w:pPr>
      <w:r>
        <w:t xml:space="preserve">Media objects, such as DVB DASH segments, are ingested by the </w:t>
      </w:r>
      <w:r w:rsidRPr="00776B39">
        <w:rPr>
          <w:i/>
          <w:iCs/>
        </w:rPr>
        <w:t>Multicast server</w:t>
      </w:r>
      <w:r>
        <w:t xml:space="preserve"> (clause 7.3) – via either a pull-based interface (</w:t>
      </w:r>
      <w:r w:rsidRPr="00776B39">
        <w:rPr>
          <w:b/>
          <w:bCs/>
        </w:rPr>
        <w:t>O</w:t>
      </w:r>
      <w:r w:rsidRPr="00776B39">
        <w:rPr>
          <w:b/>
          <w:bCs/>
          <w:vertAlign w:val="subscript"/>
        </w:rPr>
        <w:t>in</w:t>
      </w:r>
      <w:r>
        <w:t>) or a push-based interface (</w:t>
      </w:r>
      <w:r w:rsidRPr="00776B39">
        <w:rPr>
          <w:b/>
          <w:bCs/>
        </w:rPr>
        <w:t>P</w:t>
      </w:r>
      <w:r w:rsidRPr="00776B39">
        <w:rPr>
          <w:b/>
          <w:bCs/>
          <w:vertAlign w:val="subscript"/>
        </w:rPr>
        <w:t>in</w:t>
      </w:r>
      <w:r w:rsidRPr="00776B39">
        <w:rPr>
          <w:rFonts w:cstheme="minorHAnsi"/>
        </w:rPr>
        <w:t>′</w:t>
      </w:r>
      <w:r>
        <w:t xml:space="preserve">) – and are serialised into a packet stream according to a DVB-standardised multicast media transport protocol. Each resulting multicast transport session is transmitted on an IP multicast group at reference point </w:t>
      </w:r>
      <w:r w:rsidRPr="00776B39">
        <w:rPr>
          <w:b/>
          <w:bCs/>
        </w:rPr>
        <w:t>M</w:t>
      </w:r>
      <w:r>
        <w:t xml:space="preserve">. The multicast packet streams may additionally be protected by Forward Error Correction </w:t>
      </w:r>
      <w:r w:rsidR="00E86C8A">
        <w:t xml:space="preserve">that is </w:t>
      </w:r>
      <w:r>
        <w:t xml:space="preserve">provided either in the same IP multicast group, or </w:t>
      </w:r>
      <w:r w:rsidR="00E86C8A">
        <w:t xml:space="preserve">else </w:t>
      </w:r>
      <w:r>
        <w:t>separately.</w:t>
      </w:r>
    </w:p>
    <w:p w14:paraId="4A04AE7B" w14:textId="14D2D270" w:rsidR="00793209" w:rsidRDefault="00793209" w:rsidP="00793209">
      <w:pPr>
        <w:pStyle w:val="ListParagraph"/>
        <w:keepLines w:val="0"/>
        <w:widowControl/>
        <w:numPr>
          <w:ilvl w:val="0"/>
          <w:numId w:val="9"/>
        </w:numPr>
        <w:spacing w:after="160" w:line="259" w:lineRule="auto"/>
      </w:pPr>
      <w:r>
        <w:t xml:space="preserve">At the receiving end, the </w:t>
      </w:r>
      <w:r w:rsidRPr="00776B39">
        <w:rPr>
          <w:i/>
          <w:iCs/>
        </w:rPr>
        <w:t>Multicast gateway</w:t>
      </w:r>
      <w:r>
        <w:t xml:space="preserve"> function (clause 7.4) subscribes to (potentially multiple) IP multicast groups of interest at reference point </w:t>
      </w:r>
      <w:r w:rsidRPr="008A3CF1">
        <w:rPr>
          <w:b/>
          <w:bCs/>
        </w:rPr>
        <w:t>M</w:t>
      </w:r>
      <w:r>
        <w:t xml:space="preserve"> and reassemble</w:t>
      </w:r>
      <w:r w:rsidR="00D1099A">
        <w:t>s</w:t>
      </w:r>
      <w:r>
        <w:t xml:space="preserve"> received packets from each multicast transport session back into the original media objects. Any missing information is recovered via Forward Error Correction techniques (if available and currently subscribed) or, failing that, via unicast recovery at either reference point </w:t>
      </w:r>
      <w:r w:rsidRPr="008A3CF1">
        <w:rPr>
          <w:b/>
          <w:bCs/>
        </w:rPr>
        <w:t>U</w:t>
      </w:r>
      <w:r>
        <w:t xml:space="preserve"> (for RTCP-style packet retransmission) or </w:t>
      </w:r>
      <w:r w:rsidRPr="008A3CF1">
        <w:rPr>
          <w:b/>
          <w:bCs/>
        </w:rPr>
        <w:t>A</w:t>
      </w:r>
      <w:r>
        <w:t xml:space="preserve"> (for HTTP-based recovery). The reconstructed media objects are presented to a standards-compliant </w:t>
      </w:r>
      <w:r>
        <w:rPr>
          <w:i/>
          <w:iCs/>
        </w:rPr>
        <w:t>Media player</w:t>
      </w:r>
      <w:r>
        <w:t xml:space="preserve"> function at reference point </w:t>
      </w:r>
      <w:r w:rsidRPr="008A3CF1">
        <w:rPr>
          <w:b/>
          <w:bCs/>
        </w:rPr>
        <w:t>L</w:t>
      </w:r>
      <w:r>
        <w:t>.</w:t>
      </w:r>
    </w:p>
    <w:p w14:paraId="30A68352" w14:textId="59ACD8EE" w:rsidR="00793209" w:rsidRDefault="00793209" w:rsidP="00793209">
      <w:pPr>
        <w:keepNext/>
      </w:pPr>
      <w:r>
        <w:lastRenderedPageBreak/>
        <w:t xml:space="preserve">The first edition of BlueBook A176 documents three different potential deployment sites for the </w:t>
      </w:r>
      <w:r>
        <w:rPr>
          <w:i/>
          <w:iCs/>
        </w:rPr>
        <w:t>Multicast gateway</w:t>
      </w:r>
      <w:r>
        <w:t xml:space="preserve"> (clause 5). The location of this function determines where a multicast transport session is converted back to </w:t>
      </w:r>
      <w:r w:rsidR="00D1099A">
        <w:t xml:space="preserve">one or more conventional </w:t>
      </w:r>
      <w:r>
        <w:t>unicast</w:t>
      </w:r>
      <w:r w:rsidR="00D1099A">
        <w:t xml:space="preserve"> streaming sessions</w:t>
      </w:r>
      <w:r>
        <w:t>, and therefore the “fan-out” point for the purposes of scaling the deployment.</w:t>
      </w:r>
    </w:p>
    <w:p w14:paraId="7F08A412" w14:textId="2BF4A656" w:rsidR="00793209" w:rsidRDefault="00793209" w:rsidP="00793209">
      <w:pPr>
        <w:pStyle w:val="ListParagraph"/>
        <w:keepNext/>
        <w:widowControl/>
        <w:numPr>
          <w:ilvl w:val="0"/>
          <w:numId w:val="8"/>
        </w:numPr>
        <w:spacing w:after="160" w:line="259" w:lineRule="auto"/>
      </w:pPr>
      <w:r>
        <w:t xml:space="preserve">The </w:t>
      </w:r>
      <w:r w:rsidRPr="007D2805">
        <w:rPr>
          <w:i/>
          <w:iCs/>
        </w:rPr>
        <w:t>Multicast gateway</w:t>
      </w:r>
      <w:r>
        <w:t xml:space="preserve"> function is deployed in a node at the edge of the operator’s network, such as a Multi-access Edge Computing (MEC) server. In this case, multicast transmission is terminated in the network core and multiple unicast s</w:t>
      </w:r>
      <w:r w:rsidR="00D1099A">
        <w:t>essions</w:t>
      </w:r>
      <w:r>
        <w:t xml:space="preserve"> are presented to </w:t>
      </w:r>
      <w:r w:rsidR="00D1099A">
        <w:t>terminal</w:t>
      </w:r>
      <w:r>
        <w:t xml:space="preserve"> devices across individual access network links.</w:t>
      </w:r>
    </w:p>
    <w:p w14:paraId="098B4B17" w14:textId="739F5C1E" w:rsidR="00793209" w:rsidRDefault="00793209" w:rsidP="00793209">
      <w:pPr>
        <w:pStyle w:val="ListParagraph"/>
        <w:keepNext/>
        <w:keepLines w:val="0"/>
        <w:widowControl/>
        <w:numPr>
          <w:ilvl w:val="0"/>
          <w:numId w:val="8"/>
        </w:numPr>
        <w:spacing w:after="160" w:line="259" w:lineRule="auto"/>
      </w:pPr>
      <w:r>
        <w:t xml:space="preserve">The </w:t>
      </w:r>
      <w:r w:rsidRPr="007D2805">
        <w:rPr>
          <w:i/>
          <w:iCs/>
        </w:rPr>
        <w:t>Multicast gateway</w:t>
      </w:r>
      <w:r>
        <w:t xml:space="preserve"> function is embedded in a piece of customer premises equipment such as a home gateway router. In this case, multicast transmission is extended across the access network, but multiple unicast streams are still presented to </w:t>
      </w:r>
      <w:r w:rsidR="00D1099A">
        <w:t>terminal</w:t>
      </w:r>
      <w:r>
        <w:t xml:space="preserve"> devices across the home network.</w:t>
      </w:r>
    </w:p>
    <w:p w14:paraId="3FCC7145" w14:textId="518B3F28" w:rsidR="00793209" w:rsidRDefault="00793209" w:rsidP="00793209">
      <w:pPr>
        <w:pStyle w:val="ListParagraph"/>
        <w:keepLines w:val="0"/>
        <w:widowControl/>
        <w:numPr>
          <w:ilvl w:val="0"/>
          <w:numId w:val="8"/>
        </w:numPr>
        <w:spacing w:after="160" w:line="259" w:lineRule="auto"/>
      </w:pPr>
      <w:r>
        <w:t xml:space="preserve">The </w:t>
      </w:r>
      <w:r w:rsidRPr="007D2805">
        <w:rPr>
          <w:i/>
          <w:iCs/>
        </w:rPr>
        <w:t>Multicast gateway</w:t>
      </w:r>
      <w:r>
        <w:t xml:space="preserve"> function is embedded in individual </w:t>
      </w:r>
      <w:r w:rsidR="00D1099A">
        <w:t>terminal</w:t>
      </w:r>
      <w:r>
        <w:t xml:space="preserve"> devices. In this case multicast transmission is extended across core, access and home networks, maximising the potential reuse of </w:t>
      </w:r>
      <w:r w:rsidR="00D1099A">
        <w:t xml:space="preserve">network </w:t>
      </w:r>
      <w:r>
        <w:t xml:space="preserve">capacity. Since the conversion from multicast to unicast by the </w:t>
      </w:r>
      <w:r w:rsidRPr="002A184D">
        <w:rPr>
          <w:i/>
          <w:iCs/>
        </w:rPr>
        <w:t>Multicast gateway</w:t>
      </w:r>
      <w:r>
        <w:t xml:space="preserve"> happens inside the device, reference point </w:t>
      </w:r>
      <w:r w:rsidRPr="002A184D">
        <w:rPr>
          <w:b/>
          <w:bCs/>
        </w:rPr>
        <w:t>L</w:t>
      </w:r>
      <w:r>
        <w:t xml:space="preserve"> becomes a notional internal API</w:t>
      </w:r>
      <w:r w:rsidR="00D1099A">
        <w:t>, although this could still be realised using HTTP (c.f. MBMS Client).</w:t>
      </w:r>
    </w:p>
    <w:p w14:paraId="21223B96" w14:textId="77777777" w:rsidR="00793209" w:rsidRDefault="00793209" w:rsidP="00793209">
      <w:pPr>
        <w:pStyle w:val="Heading2"/>
      </w:pPr>
      <w:r>
        <w:t>Phase 1 technical specification (second edition)</w:t>
      </w:r>
    </w:p>
    <w:p w14:paraId="3954A2F7" w14:textId="77777777" w:rsidR="00793209" w:rsidRDefault="00793209" w:rsidP="00793209">
      <w:pPr>
        <w:keepNext/>
      </w:pPr>
      <w:r>
        <w:t xml:space="preserve">The second edition of DVB BlueBook A176 adds flesh to these bones. It specifies a choice of two different multicast media transport protocols that can be used to format multicast transport sessions at reference point </w:t>
      </w:r>
      <w:r w:rsidRPr="00AE70D3">
        <w:rPr>
          <w:b/>
          <w:bCs/>
        </w:rPr>
        <w:t>M</w:t>
      </w:r>
      <w:r>
        <w:t>:</w:t>
      </w:r>
    </w:p>
    <w:p w14:paraId="7EFC9D6A" w14:textId="467471A0" w:rsidR="00793209" w:rsidRDefault="00793209" w:rsidP="00793209">
      <w:pPr>
        <w:pStyle w:val="ListParagraphLargeindent"/>
      </w:pPr>
      <w:r>
        <w:t>A profile of FLUTE version 1 [</w:t>
      </w:r>
      <w:r w:rsidR="003D0DF9">
        <w:t>4</w:t>
      </w:r>
      <w:r>
        <w:t>] based on annex L of TS 26.347 [</w:t>
      </w:r>
      <w:r w:rsidR="003D0DF9">
        <w:t>5</w:t>
      </w:r>
      <w:r>
        <w:t>]. The 3GPP profile of FLUTE is extended by DVB</w:t>
      </w:r>
      <w:r>
        <w:noBreakHyphen/>
        <w:t xml:space="preserve">MABR to support the low-latency delivery of individual CMAF chunks as </w:t>
      </w:r>
      <w:r w:rsidR="007F3FAE">
        <w:t xml:space="preserve">individual </w:t>
      </w:r>
      <w:r>
        <w:t xml:space="preserve">FLUTE delivery objects at reference point </w:t>
      </w:r>
      <w:r w:rsidRPr="00BD12F8">
        <w:rPr>
          <w:b/>
          <w:bCs/>
        </w:rPr>
        <w:t>M</w:t>
      </w:r>
      <w:r>
        <w:t>.</w:t>
      </w:r>
    </w:p>
    <w:p w14:paraId="3C2FFAD9" w14:textId="1E63F076" w:rsidR="00793209" w:rsidRDefault="00793209" w:rsidP="00793209">
      <w:pPr>
        <w:pStyle w:val="ListParagraphLargeindent"/>
      </w:pPr>
      <w:r>
        <w:t>A profile of ROUTE based on annex A of ATSC A/331 [</w:t>
      </w:r>
      <w:r w:rsidR="003D0DF9">
        <w:t>6</w:t>
      </w:r>
      <w:r>
        <w:t>]. DVB-MABR additionally specifies the low-latency delivery of individual CMAF chunks when ROUTE Entity mode is chosen</w:t>
      </w:r>
      <w:r w:rsidRPr="004107AF">
        <w:t xml:space="preserve"> </w:t>
      </w:r>
      <w:r>
        <w:t xml:space="preserve">at reference point </w:t>
      </w:r>
      <w:r w:rsidRPr="00BD12F8">
        <w:rPr>
          <w:b/>
          <w:bCs/>
        </w:rPr>
        <w:t>M</w:t>
      </w:r>
      <w:r>
        <w:t>.</w:t>
      </w:r>
    </w:p>
    <w:p w14:paraId="1E159A72" w14:textId="77777777" w:rsidR="007F3FAE" w:rsidRDefault="00793209" w:rsidP="00793209">
      <w:r>
        <w:t>Clause 9 specifies a data model for the technical metadata required to run a DVB-MABR system, along with a serialisation of the data model expressed in XML Schema Language (annex A). The data model is intended primarily to describe multicast transport of DV</w:t>
      </w:r>
      <w:r w:rsidR="007F3FAE">
        <w:t>B</w:t>
      </w:r>
      <w:r w:rsidR="007F3FAE">
        <w:noBreakHyphen/>
      </w:r>
      <w:r>
        <w:t>DASH media sessions, but provision has also been made to describe HLS sessions.</w:t>
      </w:r>
    </w:p>
    <w:p w14:paraId="17B71CBE" w14:textId="1CCDCBF1" w:rsidR="00793209" w:rsidRPr="00EA43D9" w:rsidRDefault="00793209" w:rsidP="00793209">
      <w:r>
        <w:t xml:space="preserve">RESTful HTTP interfaces to configure instances of the </w:t>
      </w:r>
      <w:r w:rsidRPr="00EA43D9">
        <w:rPr>
          <w:i/>
          <w:iCs/>
        </w:rPr>
        <w:t>Multicast server</w:t>
      </w:r>
      <w:r>
        <w:t xml:space="preserve"> and </w:t>
      </w:r>
      <w:r w:rsidRPr="00EA43D9">
        <w:rPr>
          <w:i/>
          <w:iCs/>
        </w:rPr>
        <w:t>Multicast gateway</w:t>
      </w:r>
      <w:r>
        <w:t xml:space="preserve"> functions with this technical metadata are also specified (clause 9.4). Both pull- and push-based configuration mechanisms are supported, including a means for a </w:t>
      </w:r>
      <w:r>
        <w:rPr>
          <w:i/>
          <w:iCs/>
        </w:rPr>
        <w:t>Multicast server</w:t>
      </w:r>
      <w:r>
        <w:t xml:space="preserve"> to carousel configuration to </w:t>
      </w:r>
      <w:r>
        <w:rPr>
          <w:i/>
          <w:iCs/>
        </w:rPr>
        <w:t>Multicast gateway</w:t>
      </w:r>
      <w:r>
        <w:t xml:space="preserve"> instances via a special multicast transport session designed for this purpose. (This latter feature especially facilitates the deployment of DVB-MABR in unidirectional networks such as Direct Broadcast Satellite, but can also be applied in bidirectional networks.)</w:t>
      </w:r>
    </w:p>
    <w:p w14:paraId="66D66A8E" w14:textId="77777777" w:rsidR="00793209" w:rsidRDefault="00793209" w:rsidP="00793209">
      <w:r>
        <w:t xml:space="preserve">Clause 6 specifies a mechanism to bootstrap the start of a media streaming session. Requests from a </w:t>
      </w:r>
      <w:r w:rsidRPr="002922D0">
        <w:rPr>
          <w:i/>
          <w:iCs/>
        </w:rPr>
        <w:t>Media player</w:t>
      </w:r>
      <w:r>
        <w:t xml:space="preserve"> </w:t>
      </w:r>
      <w:r w:rsidRPr="002922D0">
        <w:t>for</w:t>
      </w:r>
      <w:r>
        <w:t xml:space="preserve"> a presentation manifest are directed in the first instance via reference point </w:t>
      </w:r>
      <w:r w:rsidRPr="00CE0F1D">
        <w:rPr>
          <w:b/>
          <w:bCs/>
        </w:rPr>
        <w:t>B</w:t>
      </w:r>
      <w:r>
        <w:t xml:space="preserve"> to a </w:t>
      </w:r>
      <w:r>
        <w:rPr>
          <w:i/>
          <w:iCs/>
        </w:rPr>
        <w:t>Multicast rendezvous service</w:t>
      </w:r>
      <w:r>
        <w:t xml:space="preserve"> that has knowledge of the deployment configuration. In particular, it knows whether a </w:t>
      </w:r>
      <w:r>
        <w:rPr>
          <w:i/>
          <w:iCs/>
        </w:rPr>
        <w:t>Multicast gateway</w:t>
      </w:r>
      <w:r>
        <w:t xml:space="preserve"> is available to handle the request. If so, the </w:t>
      </w:r>
      <w:r>
        <w:rPr>
          <w:i/>
          <w:iCs/>
        </w:rPr>
        <w:t>Media player</w:t>
      </w:r>
      <w:r>
        <w:t xml:space="preserve"> is redirected to the most suitable </w:t>
      </w:r>
      <w:r>
        <w:rPr>
          <w:i/>
          <w:iCs/>
        </w:rPr>
        <w:t>Multicast gateway</w:t>
      </w:r>
      <w:r>
        <w:t xml:space="preserve"> which assumes control of the playback session at reference point </w:t>
      </w:r>
      <w:r w:rsidRPr="002A1E57">
        <w:rPr>
          <w:b/>
          <w:bCs/>
        </w:rPr>
        <w:t>L</w:t>
      </w:r>
      <w:r>
        <w:t>.</w:t>
      </w:r>
    </w:p>
    <w:p w14:paraId="4AC2B901" w14:textId="1EA62951" w:rsidR="00793209" w:rsidRDefault="00793209" w:rsidP="00793209">
      <w:r>
        <w:t xml:space="preserve">In the simplest deployment scenario, the </w:t>
      </w:r>
      <w:r>
        <w:rPr>
          <w:i/>
          <w:iCs/>
        </w:rPr>
        <w:t>Multicast rendezvous service</w:t>
      </w:r>
      <w:r>
        <w:t xml:space="preserve"> is hosted in an Internet Service Provider’s network (clause 6.1), but an option to place this function adjacent to a locally deployed </w:t>
      </w:r>
      <w:r>
        <w:rPr>
          <w:i/>
          <w:iCs/>
        </w:rPr>
        <w:t>Multicast gateway</w:t>
      </w:r>
      <w:r>
        <w:t xml:space="preserve"> is also specified (clause 6.2) in order to maintain the same basic rendezvous </w:t>
      </w:r>
      <w:r w:rsidR="000F1CC3">
        <w:t>procedure</w:t>
      </w:r>
      <w:bookmarkStart w:id="0" w:name="_GoBack"/>
      <w:bookmarkEnd w:id="0"/>
      <w:r>
        <w:t xml:space="preserve"> in unidirectional deployments. A mechanism to discover a local </w:t>
      </w:r>
      <w:r>
        <w:rPr>
          <w:i/>
          <w:iCs/>
        </w:rPr>
        <w:t>Multicast rendezvous service</w:t>
      </w:r>
      <w:r>
        <w:t xml:space="preserve"> function is also suggested (clause 6.4).</w:t>
      </w:r>
    </w:p>
    <w:p w14:paraId="2B403906" w14:textId="77777777" w:rsidR="00793209" w:rsidRDefault="00793209" w:rsidP="00793209">
      <w:r>
        <w:t xml:space="preserve">Clause 8.2 specifies a unicast recovery mechanism at reference point </w:t>
      </w:r>
      <w:r w:rsidRPr="009D63FA">
        <w:rPr>
          <w:b/>
          <w:bCs/>
        </w:rPr>
        <w:t>A</w:t>
      </w:r>
      <w:r>
        <w:t xml:space="preserve"> that a </w:t>
      </w:r>
      <w:r>
        <w:rPr>
          <w:i/>
          <w:iCs/>
        </w:rPr>
        <w:t>Multicast gateway</w:t>
      </w:r>
      <w:r>
        <w:t xml:space="preserve"> can use to repair gaps resulting from multicast packet loss. In order to minimise the additional load that this places on the network (which, by adding to the downstream network congestion that caused multicast packet loss, risks further exacerbating it) the recovery mechanism is based on compact HTTP range requests.</w:t>
      </w:r>
    </w:p>
    <w:p w14:paraId="59D876F7" w14:textId="77777777" w:rsidR="00793209" w:rsidRPr="009D63FA" w:rsidRDefault="00793209" w:rsidP="00793209">
      <w:r>
        <w:t xml:space="preserve">Packet-level recovery via reference point </w:t>
      </w:r>
      <w:r w:rsidRPr="009D63FA">
        <w:rPr>
          <w:b/>
          <w:bCs/>
        </w:rPr>
        <w:t>U</w:t>
      </w:r>
      <w:r>
        <w:t xml:space="preserve"> remains unspecified in the first technical phase.</w:t>
      </w:r>
    </w:p>
    <w:p w14:paraId="6058CF20" w14:textId="77777777" w:rsidR="00793209" w:rsidRDefault="00793209" w:rsidP="00793209">
      <w:pPr>
        <w:pStyle w:val="Heading1"/>
      </w:pPr>
      <w:r>
        <w:lastRenderedPageBreak/>
        <w:t>Future work</w:t>
      </w:r>
    </w:p>
    <w:p w14:paraId="4A0EDFF5" w14:textId="36912E54" w:rsidR="00793209" w:rsidRPr="003747F5" w:rsidRDefault="00793209" w:rsidP="00793209">
      <w:r>
        <w:t xml:space="preserve">There wasn’t time to standardise reporting from the </w:t>
      </w:r>
      <w:r>
        <w:rPr>
          <w:i/>
          <w:iCs/>
        </w:rPr>
        <w:t>Multicast gateway</w:t>
      </w:r>
      <w:r>
        <w:t xml:space="preserve"> at reference point </w:t>
      </w:r>
      <w:r w:rsidRPr="003747F5">
        <w:rPr>
          <w:b/>
          <w:bCs/>
        </w:rPr>
        <w:t>R</w:t>
      </w:r>
      <w:r w:rsidRPr="003747F5">
        <w:rPr>
          <w:b/>
          <w:bCs/>
          <w:vertAlign w:val="subscript"/>
        </w:rPr>
        <w:t>S</w:t>
      </w:r>
      <w:r>
        <w:t xml:space="preserve"> (clause 10) during the first phase of technical specification, so this is a potential work item for a second technical specification phase. In addition, it is hoped to build strong</w:t>
      </w:r>
      <w:r w:rsidR="00670F1F">
        <w:t>er</w:t>
      </w:r>
      <w:r>
        <w:t xml:space="preserve"> links to related DVB specifications for service discovery, low-latency DASH and targeted advertising.</w:t>
      </w:r>
    </w:p>
    <w:p w14:paraId="36F8CB8C" w14:textId="77777777" w:rsidR="00793209" w:rsidRDefault="00793209" w:rsidP="00793209">
      <w:pPr>
        <w:pStyle w:val="Heading1"/>
        <w:numPr>
          <w:ilvl w:val="0"/>
          <w:numId w:val="0"/>
        </w:numPr>
        <w:ind w:left="431" w:hanging="431"/>
      </w:pPr>
      <w:r>
        <w:t>References</w:t>
      </w:r>
    </w:p>
    <w:p w14:paraId="3F0B379B" w14:textId="29534A21" w:rsidR="003D0DF9" w:rsidRDefault="003D0DF9" w:rsidP="003D0DF9">
      <w:pPr>
        <w:pStyle w:val="Bibliography"/>
      </w:pPr>
      <w:r>
        <w:t>[1]</w:t>
      </w:r>
      <w:r>
        <w:tab/>
        <w:t>ETSI TS 102 385: "</w:t>
      </w:r>
      <w:r>
        <w:t>Digital Video Broadcasting (DVB);</w:t>
      </w:r>
      <w:r>
        <w:t xml:space="preserve"> </w:t>
      </w:r>
      <w:r>
        <w:t>MPEG-DASH Profile for Transport of ISO BMFF</w:t>
      </w:r>
      <w:r>
        <w:t xml:space="preserve"> </w:t>
      </w:r>
      <w:r>
        <w:t>Based DVB Services over IP Based Networks</w:t>
      </w:r>
      <w:r>
        <w:t>".</w:t>
      </w:r>
    </w:p>
    <w:p w14:paraId="2E218D08" w14:textId="35770D1E" w:rsidR="003D0DF9" w:rsidRDefault="003D0DF9" w:rsidP="003D0DF9">
      <w:pPr>
        <w:pStyle w:val="Bibliography"/>
      </w:pPr>
      <w:r>
        <w:t>[2]</w:t>
      </w:r>
      <w:r>
        <w:tab/>
        <w:t>ETSI TS 102 034: "</w:t>
      </w:r>
      <w:r>
        <w:t>Digital Video Broadcasting (DVB);</w:t>
      </w:r>
      <w:r w:rsidRPr="003D0DF9">
        <w:t xml:space="preserve"> </w:t>
      </w:r>
      <w:r w:rsidRPr="003D0DF9">
        <w:t>Transport of MPEG-2 TS Based DVB Services over IP Based Networks</w:t>
      </w:r>
      <w:r>
        <w:t>".</w:t>
      </w:r>
    </w:p>
    <w:p w14:paraId="01A57907" w14:textId="15AF504D" w:rsidR="00793209" w:rsidRDefault="00793209" w:rsidP="003D0DF9">
      <w:pPr>
        <w:pStyle w:val="Bibliography"/>
      </w:pPr>
      <w:r>
        <w:t>[</w:t>
      </w:r>
      <w:r w:rsidR="003D0DF9">
        <w:t>3</w:t>
      </w:r>
      <w:r>
        <w:t>]</w:t>
      </w:r>
      <w:r>
        <w:tab/>
        <w:t>DVB BlueBook A176: "Dynamic Adaptive Streaming over IP Multicast".</w:t>
      </w:r>
    </w:p>
    <w:p w14:paraId="4420B9BD" w14:textId="316DBDEA" w:rsidR="00793209" w:rsidRDefault="00793209" w:rsidP="003D0DF9">
      <w:pPr>
        <w:pStyle w:val="Bibliography"/>
      </w:pPr>
      <w:r>
        <w:t>[</w:t>
      </w:r>
      <w:r w:rsidR="003D0DF9">
        <w:t>4</w:t>
      </w:r>
      <w:r>
        <w:t>]</w:t>
      </w:r>
      <w:r>
        <w:tab/>
        <w:t>IETF RFC 3926: "</w:t>
      </w:r>
      <w:r w:rsidRPr="00AE70D3">
        <w:t xml:space="preserve">FLUTE </w:t>
      </w:r>
      <w:r>
        <w:t>–</w:t>
      </w:r>
      <w:r w:rsidRPr="00AE70D3">
        <w:t xml:space="preserve"> File Delivery over Unidirectional Transport</w:t>
      </w:r>
      <w:r>
        <w:t>", October 2004.</w:t>
      </w:r>
    </w:p>
    <w:p w14:paraId="36826A58" w14:textId="6E6E4FBA" w:rsidR="00793209" w:rsidRDefault="00793209" w:rsidP="003D0DF9">
      <w:pPr>
        <w:pStyle w:val="Bibliography"/>
      </w:pPr>
      <w:r>
        <w:t>[</w:t>
      </w:r>
      <w:r w:rsidR="003D0DF9">
        <w:t>5</w:t>
      </w:r>
      <w:r>
        <w:t>]</w:t>
      </w:r>
      <w:r>
        <w:tab/>
        <w:t>3GPP TS 26.346: "Multimedia Broadcast/Multicast Service (MBMS); Protocols and codecs".</w:t>
      </w:r>
    </w:p>
    <w:p w14:paraId="4B6F747E" w14:textId="1FCA6A94" w:rsidR="00793209" w:rsidRPr="00793209" w:rsidRDefault="00793209" w:rsidP="003D0DF9">
      <w:pPr>
        <w:pStyle w:val="Bibliography"/>
      </w:pPr>
      <w:r>
        <w:t>[</w:t>
      </w:r>
      <w:r w:rsidR="003D0DF9">
        <w:t>6</w:t>
      </w:r>
      <w:r>
        <w:t>]</w:t>
      </w:r>
      <w:r>
        <w:tab/>
        <w:t>ATSC A/331: "Signaling, Delivery, Synchronization, and Error Protection".</w:t>
      </w:r>
    </w:p>
    <w:sectPr w:rsidR="00793209" w:rsidRPr="00793209" w:rsidSect="004D5EE4">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97D1F" w14:textId="77777777" w:rsidR="008850D2" w:rsidRDefault="008850D2">
      <w:r>
        <w:separator/>
      </w:r>
    </w:p>
  </w:endnote>
  <w:endnote w:type="continuationSeparator" w:id="0">
    <w:p w14:paraId="3A673E3B" w14:textId="77777777" w:rsidR="008850D2" w:rsidRDefault="008850D2">
      <w:r>
        <w:continuationSeparator/>
      </w:r>
    </w:p>
  </w:endnote>
  <w:endnote w:type="continuationNotice" w:id="1">
    <w:p w14:paraId="7CB03128" w14:textId="77777777" w:rsidR="008850D2" w:rsidRDefault="00885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6174BD" w:rsidRDefault="006174B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6174BD" w:rsidRDefault="006174BD"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AB8CC" w14:textId="77777777" w:rsidR="008850D2" w:rsidRDefault="008850D2">
      <w:r>
        <w:separator/>
      </w:r>
    </w:p>
  </w:footnote>
  <w:footnote w:type="continuationSeparator" w:id="0">
    <w:p w14:paraId="4E68981F" w14:textId="77777777" w:rsidR="008850D2" w:rsidRDefault="008850D2">
      <w:r>
        <w:continuationSeparator/>
      </w:r>
    </w:p>
  </w:footnote>
  <w:footnote w:type="continuationNotice" w:id="1">
    <w:p w14:paraId="3B469EFA" w14:textId="77777777" w:rsidR="008850D2" w:rsidRDefault="008850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F7BCA" w14:textId="09237FB2" w:rsidR="00793209" w:rsidRPr="00495F8D" w:rsidRDefault="00793209" w:rsidP="00793209">
    <w:pPr>
      <w:tabs>
        <w:tab w:val="right" w:pos="21972"/>
      </w:tabs>
      <w:spacing w:after="0"/>
      <w:rPr>
        <w:rFonts w:cs="Arial"/>
        <w:b/>
        <w:i/>
        <w:sz w:val="28"/>
        <w:szCs w:val="28"/>
      </w:rPr>
    </w:pPr>
    <w:r w:rsidRPr="004D5EE4">
      <w:rPr>
        <w:rFonts w:cs="Arial"/>
      </w:rPr>
      <w:t>3GPP TSG SA4 MBS sub</w:t>
    </w:r>
    <w:r>
      <w:rPr>
        <w:rFonts w:cs="Arial"/>
      </w:rPr>
      <w:t>working group call</w:t>
    </w:r>
    <w:r w:rsidRPr="004D5EE4">
      <w:rPr>
        <w:rFonts w:cs="Arial"/>
        <w:b/>
        <w:i/>
      </w:rPr>
      <w:tab/>
    </w:r>
    <w:r w:rsidRPr="004D5EE4">
      <w:rPr>
        <w:rFonts w:cs="Arial"/>
        <w:b/>
        <w:i/>
        <w:sz w:val="28"/>
        <w:szCs w:val="28"/>
      </w:rPr>
      <w:t>S4-AHI</w:t>
    </w:r>
    <w:r>
      <w:rPr>
        <w:rFonts w:cs="Arial"/>
        <w:b/>
        <w:i/>
        <w:sz w:val="28"/>
        <w:szCs w:val="28"/>
      </w:rPr>
      <w:t>A</w:t>
    </w:r>
    <w:r w:rsidR="007D40DA">
      <w:rPr>
        <w:rFonts w:cs="Arial"/>
        <w:b/>
        <w:i/>
        <w:sz w:val="28"/>
        <w:szCs w:val="28"/>
      </w:rPr>
      <w:t>10</w:t>
    </w:r>
  </w:p>
  <w:p w14:paraId="6ED40CEF" w14:textId="655CC0CF" w:rsidR="00793209" w:rsidRDefault="00793209" w:rsidP="00793209">
    <w:pPr>
      <w:pStyle w:val="Header"/>
    </w:pPr>
    <w:r>
      <w:rPr>
        <w:rFonts w:cs="Arial"/>
        <w:lang w:val="en-US"/>
      </w:rPr>
      <w:t>Electronic, 25</w:t>
    </w:r>
    <w:r w:rsidRPr="00FB7FFC">
      <w:rPr>
        <w:rFonts w:cs="Arial"/>
        <w:vertAlign w:val="superscript"/>
        <w:lang w:val="en-US"/>
      </w:rPr>
      <w:t>th</w:t>
    </w:r>
    <w:r>
      <w:rPr>
        <w:rFonts w:cs="Arial"/>
        <w:lang w:val="en-US"/>
      </w:rPr>
      <w:t xml:space="preserve"> June</w:t>
    </w:r>
    <w:r w:rsidRPr="006137CC">
      <w:rPr>
        <w:rFonts w:cs="Arial"/>
        <w:lang w:val="en-US"/>
      </w:rPr>
      <w:t xml:space="preserve"> 20</w:t>
    </w:r>
    <w:r>
      <w:rPr>
        <w:rFonts w:cs="Arial"/>
        <w:lang w:val="en-US"/>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6174BD" w:rsidRDefault="006174BD">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855E6" w14:textId="626AE8F4" w:rsidR="00495F8D" w:rsidRPr="00495F8D" w:rsidRDefault="00BD4C57" w:rsidP="009B5452">
    <w:pPr>
      <w:tabs>
        <w:tab w:val="right" w:pos="21972"/>
      </w:tabs>
      <w:spacing w:after="0"/>
      <w:rPr>
        <w:rFonts w:cs="Arial"/>
        <w:b/>
        <w:i/>
        <w:sz w:val="28"/>
        <w:szCs w:val="28"/>
      </w:rPr>
    </w:pPr>
    <w:r w:rsidRPr="004D5EE4">
      <w:rPr>
        <w:rFonts w:cs="Arial"/>
      </w:rPr>
      <w:t xml:space="preserve">3GPP </w:t>
    </w:r>
    <w:r w:rsidR="006174BD" w:rsidRPr="004D5EE4">
      <w:rPr>
        <w:rFonts w:cs="Arial"/>
      </w:rPr>
      <w:t xml:space="preserve">TSG SA4 </w:t>
    </w:r>
    <w:r w:rsidR="004D5EE4" w:rsidRPr="004D5EE4">
      <w:rPr>
        <w:rFonts w:cs="Arial"/>
      </w:rPr>
      <w:t>MBS sub</w:t>
    </w:r>
    <w:r w:rsidR="004D5EE4">
      <w:rPr>
        <w:rFonts w:cs="Arial"/>
      </w:rPr>
      <w:t>working group call</w:t>
    </w:r>
    <w:r w:rsidR="006174BD" w:rsidRPr="004D5EE4">
      <w:rPr>
        <w:rFonts w:cs="Arial"/>
        <w:b/>
        <w:i/>
      </w:rPr>
      <w:tab/>
    </w:r>
    <w:r w:rsidR="006174BD" w:rsidRPr="004D5EE4">
      <w:rPr>
        <w:rFonts w:cs="Arial"/>
        <w:b/>
        <w:i/>
        <w:sz w:val="28"/>
        <w:szCs w:val="28"/>
      </w:rPr>
      <w:t>S4-</w:t>
    </w:r>
    <w:r w:rsidR="004D5EE4" w:rsidRPr="004D5EE4">
      <w:rPr>
        <w:rFonts w:cs="Arial"/>
        <w:b/>
        <w:i/>
        <w:sz w:val="28"/>
        <w:szCs w:val="28"/>
      </w:rPr>
      <w:t>AHI</w:t>
    </w:r>
    <w:r w:rsidR="00A8425A">
      <w:rPr>
        <w:rFonts w:cs="Arial"/>
        <w:b/>
        <w:i/>
        <w:sz w:val="28"/>
        <w:szCs w:val="28"/>
      </w:rPr>
      <w:t>A10</w:t>
    </w:r>
  </w:p>
  <w:p w14:paraId="7640ADEC" w14:textId="3EE9FA21" w:rsidR="006174BD" w:rsidRPr="000173AB" w:rsidRDefault="001C76AA" w:rsidP="009B5452">
    <w:pPr>
      <w:tabs>
        <w:tab w:val="right" w:pos="21972"/>
      </w:tabs>
      <w:spacing w:after="0"/>
      <w:rPr>
        <w:rFonts w:cs="Arial"/>
        <w:lang w:val="en-US"/>
      </w:rPr>
    </w:pPr>
    <w:r>
      <w:rPr>
        <w:rFonts w:cs="Arial"/>
        <w:lang w:val="en-US"/>
      </w:rPr>
      <w:t xml:space="preserve">Electronic, </w:t>
    </w:r>
    <w:r w:rsidR="00FB7FFC">
      <w:rPr>
        <w:rFonts w:cs="Arial"/>
        <w:lang w:val="en-US"/>
      </w:rPr>
      <w:t>25</w:t>
    </w:r>
    <w:r w:rsidR="00FB7FFC" w:rsidRPr="00FB7FFC">
      <w:rPr>
        <w:rFonts w:cs="Arial"/>
        <w:vertAlign w:val="superscript"/>
        <w:lang w:val="en-US"/>
      </w:rPr>
      <w:t>th</w:t>
    </w:r>
    <w:r w:rsidR="00FB7FFC">
      <w:rPr>
        <w:rFonts w:cs="Arial"/>
        <w:lang w:val="en-US"/>
      </w:rPr>
      <w:t xml:space="preserve"> </w:t>
    </w:r>
    <w:r w:rsidR="004D5EE4">
      <w:rPr>
        <w:rFonts w:cs="Arial"/>
        <w:lang w:val="en-US"/>
      </w:rPr>
      <w:t>June</w:t>
    </w:r>
    <w:r w:rsidR="006174BD" w:rsidRPr="006137CC">
      <w:rPr>
        <w:rFonts w:cs="Arial"/>
        <w:lang w:val="en-US"/>
      </w:rPr>
      <w:t xml:space="preserve"> 20</w:t>
    </w:r>
    <w:r w:rsidR="006174BD">
      <w:rPr>
        <w:rFonts w:cs="Arial"/>
        <w:lang w:val="en-US"/>
      </w:rPr>
      <w:t>20</w:t>
    </w:r>
    <w:r w:rsidR="006174BD">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A45E1"/>
    <w:multiLevelType w:val="multilevel"/>
    <w:tmpl w:val="31ACF45C"/>
    <w:lvl w:ilvl="0">
      <w:start w:val="1"/>
      <w:numFmt w:val="none"/>
      <w:lvlText w:val=""/>
      <w:lvlJc w:val="left"/>
      <w:pPr>
        <w:ind w:left="0" w:firstLine="0"/>
      </w:pPr>
      <w:rPr>
        <w:rFonts w:hint="default"/>
      </w:rPr>
    </w:lvl>
    <w:lvl w:ilvl="1">
      <w:start w:val="1"/>
      <w:numFmt w:val="none"/>
      <w:lvlText w:val=""/>
      <w:lvlJc w:val="left"/>
      <w:pPr>
        <w:ind w:left="567" w:hanging="207"/>
      </w:pPr>
      <w:rPr>
        <w:rFonts w:hint="default"/>
      </w:rPr>
    </w:lvl>
    <w:lvl w:ilvl="2">
      <w:start w:val="1"/>
      <w:numFmt w:val="none"/>
      <w:lvlText w:val=""/>
      <w:lvlJc w:val="left"/>
      <w:pPr>
        <w:ind w:left="1134" w:hanging="414"/>
      </w:pPr>
      <w:rPr>
        <w:rFonts w:hint="default"/>
      </w:rPr>
    </w:lvl>
    <w:lvl w:ilvl="3">
      <w:start w:val="1"/>
      <w:numFmt w:val="none"/>
      <w:lvlText w:val=""/>
      <w:lvlJc w:val="left"/>
      <w:pPr>
        <w:ind w:left="1701" w:hanging="621"/>
      </w:pPr>
      <w:rPr>
        <w:rFonts w:hint="default"/>
      </w:rPr>
    </w:lvl>
    <w:lvl w:ilvl="4">
      <w:start w:val="1"/>
      <w:numFmt w:val="none"/>
      <w:lvlText w:val=""/>
      <w:lvlJc w:val="left"/>
      <w:pPr>
        <w:ind w:left="2268" w:hanging="828"/>
      </w:pPr>
      <w:rPr>
        <w:rFonts w:hint="default"/>
      </w:rPr>
    </w:lvl>
    <w:lvl w:ilvl="5">
      <w:start w:val="1"/>
      <w:numFmt w:val="none"/>
      <w:lvlText w:val=""/>
      <w:lvlJc w:val="left"/>
      <w:pPr>
        <w:ind w:left="2835" w:hanging="1035"/>
      </w:pPr>
      <w:rPr>
        <w:rFonts w:hint="default"/>
      </w:rPr>
    </w:lvl>
    <w:lvl w:ilvl="6">
      <w:start w:val="1"/>
      <w:numFmt w:val="none"/>
      <w:lvlText w:val=""/>
      <w:lvlJc w:val="left"/>
      <w:pPr>
        <w:ind w:left="3402" w:hanging="1242"/>
      </w:pPr>
      <w:rPr>
        <w:rFonts w:hint="default"/>
      </w:rPr>
    </w:lvl>
    <w:lvl w:ilvl="7">
      <w:start w:val="1"/>
      <w:numFmt w:val="none"/>
      <w:lvlText w:val=""/>
      <w:lvlJc w:val="left"/>
      <w:pPr>
        <w:ind w:left="3969" w:hanging="1449"/>
      </w:pPr>
      <w:rPr>
        <w:rFonts w:hint="default"/>
      </w:rPr>
    </w:lvl>
    <w:lvl w:ilvl="8">
      <w:start w:val="1"/>
      <w:numFmt w:val="none"/>
      <w:lvlText w:val=""/>
      <w:lvlJc w:val="left"/>
      <w:pPr>
        <w:ind w:left="4536" w:hanging="1656"/>
      </w:pPr>
      <w:rPr>
        <w:rFonts w:hint="default"/>
      </w:rPr>
    </w:lvl>
  </w:abstractNum>
  <w:abstractNum w:abstractNumId="3"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2410BA"/>
    <w:multiLevelType w:val="hybridMultilevel"/>
    <w:tmpl w:val="ABFA25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7CA590E"/>
    <w:multiLevelType w:val="hybridMultilevel"/>
    <w:tmpl w:val="67FED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5D611F"/>
    <w:multiLevelType w:val="multilevel"/>
    <w:tmpl w:val="76B8DB60"/>
    <w:lvl w:ilvl="0">
      <w:start w:val="6"/>
      <w:numFmt w:val="upperLetter"/>
      <w:pStyle w:val="ListParagraphLargeindent"/>
      <w:lvlText w:val="Annex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3"/>
  </w:num>
  <w:num w:numId="5">
    <w:abstractNumId w:val="1"/>
  </w:num>
  <w:num w:numId="6">
    <w:abstractNumId w:val="4"/>
  </w:num>
  <w:num w:numId="7">
    <w:abstractNumId w:val="2"/>
  </w:num>
  <w:num w:numId="8">
    <w:abstractNumId w:val="5"/>
  </w:num>
  <w:num w:numId="9">
    <w:abstractNumId w:val="7"/>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1E14"/>
    <w:rsid w:val="00062172"/>
    <w:rsid w:val="0006250B"/>
    <w:rsid w:val="000626E5"/>
    <w:rsid w:val="00062930"/>
    <w:rsid w:val="0006464F"/>
    <w:rsid w:val="00064FDA"/>
    <w:rsid w:val="00065A49"/>
    <w:rsid w:val="000671E1"/>
    <w:rsid w:val="00067CA8"/>
    <w:rsid w:val="00067E89"/>
    <w:rsid w:val="00070025"/>
    <w:rsid w:val="00070A68"/>
    <w:rsid w:val="000711BD"/>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6FC"/>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1CC3"/>
    <w:rsid w:val="000F2168"/>
    <w:rsid w:val="000F2243"/>
    <w:rsid w:val="000F3276"/>
    <w:rsid w:val="000F357B"/>
    <w:rsid w:val="000F3C59"/>
    <w:rsid w:val="000F441B"/>
    <w:rsid w:val="000F4AF5"/>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05C1"/>
    <w:rsid w:val="0011154F"/>
    <w:rsid w:val="0011159C"/>
    <w:rsid w:val="001121D6"/>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274A3"/>
    <w:rsid w:val="00130125"/>
    <w:rsid w:val="0013014D"/>
    <w:rsid w:val="0013052A"/>
    <w:rsid w:val="00130F21"/>
    <w:rsid w:val="00131C0D"/>
    <w:rsid w:val="001323A3"/>
    <w:rsid w:val="001323A9"/>
    <w:rsid w:val="001327F4"/>
    <w:rsid w:val="00132C86"/>
    <w:rsid w:val="00134021"/>
    <w:rsid w:val="00134101"/>
    <w:rsid w:val="0013464B"/>
    <w:rsid w:val="0013486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6C0"/>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4360"/>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6AA"/>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1E3"/>
    <w:rsid w:val="002514A3"/>
    <w:rsid w:val="002515DF"/>
    <w:rsid w:val="002525A4"/>
    <w:rsid w:val="00252F4F"/>
    <w:rsid w:val="002531A3"/>
    <w:rsid w:val="00253449"/>
    <w:rsid w:val="00253829"/>
    <w:rsid w:val="0025492C"/>
    <w:rsid w:val="00256746"/>
    <w:rsid w:val="0025795B"/>
    <w:rsid w:val="002602C1"/>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02F7"/>
    <w:rsid w:val="002E181F"/>
    <w:rsid w:val="002E2352"/>
    <w:rsid w:val="002E4630"/>
    <w:rsid w:val="002E4F56"/>
    <w:rsid w:val="002E6F56"/>
    <w:rsid w:val="002E7373"/>
    <w:rsid w:val="002F01B4"/>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2A96"/>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4BB5"/>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384B"/>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87A3E"/>
    <w:rsid w:val="0039038D"/>
    <w:rsid w:val="003908C6"/>
    <w:rsid w:val="003923E9"/>
    <w:rsid w:val="003926D4"/>
    <w:rsid w:val="0039280E"/>
    <w:rsid w:val="0039350F"/>
    <w:rsid w:val="00393B8E"/>
    <w:rsid w:val="00394884"/>
    <w:rsid w:val="00395655"/>
    <w:rsid w:val="00397A2A"/>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0DF9"/>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4F45"/>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B39"/>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16F7"/>
    <w:rsid w:val="0049220D"/>
    <w:rsid w:val="00493C13"/>
    <w:rsid w:val="00494AF8"/>
    <w:rsid w:val="00494DF9"/>
    <w:rsid w:val="004951CD"/>
    <w:rsid w:val="004958FA"/>
    <w:rsid w:val="00495F8D"/>
    <w:rsid w:val="00497B1E"/>
    <w:rsid w:val="004A02BE"/>
    <w:rsid w:val="004A0BB1"/>
    <w:rsid w:val="004A1952"/>
    <w:rsid w:val="004A1D1B"/>
    <w:rsid w:val="004A2B53"/>
    <w:rsid w:val="004A3D07"/>
    <w:rsid w:val="004A4AAB"/>
    <w:rsid w:val="004A5493"/>
    <w:rsid w:val="004A57A9"/>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5EE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57E"/>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2800"/>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0E38"/>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1D1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97DE4"/>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5BE6"/>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BD"/>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6E6A"/>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4E05"/>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47C"/>
    <w:rsid w:val="00664B4B"/>
    <w:rsid w:val="006655F2"/>
    <w:rsid w:val="00665E63"/>
    <w:rsid w:val="006666D9"/>
    <w:rsid w:val="006672DE"/>
    <w:rsid w:val="006676EE"/>
    <w:rsid w:val="006679C2"/>
    <w:rsid w:val="00667FB4"/>
    <w:rsid w:val="00670246"/>
    <w:rsid w:val="00670928"/>
    <w:rsid w:val="00670A09"/>
    <w:rsid w:val="00670E7B"/>
    <w:rsid w:val="00670F1F"/>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62C8"/>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269A"/>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209"/>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0DA"/>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3FAE"/>
    <w:rsid w:val="007F5200"/>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CEA"/>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31D"/>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0D2"/>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4968"/>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116"/>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B33"/>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546"/>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6DD"/>
    <w:rsid w:val="00A708D4"/>
    <w:rsid w:val="00A713BD"/>
    <w:rsid w:val="00A7149D"/>
    <w:rsid w:val="00A717FF"/>
    <w:rsid w:val="00A71BC4"/>
    <w:rsid w:val="00A725E2"/>
    <w:rsid w:val="00A736BF"/>
    <w:rsid w:val="00A73BC7"/>
    <w:rsid w:val="00A7499C"/>
    <w:rsid w:val="00A7559C"/>
    <w:rsid w:val="00A75DED"/>
    <w:rsid w:val="00A76B1B"/>
    <w:rsid w:val="00A7735F"/>
    <w:rsid w:val="00A8052E"/>
    <w:rsid w:val="00A807CF"/>
    <w:rsid w:val="00A80D92"/>
    <w:rsid w:val="00A80E08"/>
    <w:rsid w:val="00A8162E"/>
    <w:rsid w:val="00A81AB2"/>
    <w:rsid w:val="00A82A0A"/>
    <w:rsid w:val="00A82C1D"/>
    <w:rsid w:val="00A82E02"/>
    <w:rsid w:val="00A8309F"/>
    <w:rsid w:val="00A83416"/>
    <w:rsid w:val="00A8425A"/>
    <w:rsid w:val="00A845D6"/>
    <w:rsid w:val="00A845FA"/>
    <w:rsid w:val="00A8488B"/>
    <w:rsid w:val="00A84DC9"/>
    <w:rsid w:val="00A84FD0"/>
    <w:rsid w:val="00A85CEB"/>
    <w:rsid w:val="00A87194"/>
    <w:rsid w:val="00A90473"/>
    <w:rsid w:val="00A90A8D"/>
    <w:rsid w:val="00A917E9"/>
    <w:rsid w:val="00A92192"/>
    <w:rsid w:val="00A92306"/>
    <w:rsid w:val="00A95636"/>
    <w:rsid w:val="00A95662"/>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323A"/>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AF7230"/>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4C5"/>
    <w:rsid w:val="00B85E2E"/>
    <w:rsid w:val="00B86AF7"/>
    <w:rsid w:val="00B86B8C"/>
    <w:rsid w:val="00B87F63"/>
    <w:rsid w:val="00B9098F"/>
    <w:rsid w:val="00B90FF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C57"/>
    <w:rsid w:val="00BD4E5D"/>
    <w:rsid w:val="00BD58D9"/>
    <w:rsid w:val="00BD670F"/>
    <w:rsid w:val="00BE0977"/>
    <w:rsid w:val="00BE0C26"/>
    <w:rsid w:val="00BE0D71"/>
    <w:rsid w:val="00BE1783"/>
    <w:rsid w:val="00BE2690"/>
    <w:rsid w:val="00BE336C"/>
    <w:rsid w:val="00BE3A3D"/>
    <w:rsid w:val="00BE46C1"/>
    <w:rsid w:val="00BE4DA4"/>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CA"/>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57"/>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500"/>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2E9"/>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5F3"/>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099A"/>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C70"/>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0DB"/>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14E6"/>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0E76"/>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5A9D"/>
    <w:rsid w:val="00E76F8B"/>
    <w:rsid w:val="00E77529"/>
    <w:rsid w:val="00E80048"/>
    <w:rsid w:val="00E8056F"/>
    <w:rsid w:val="00E821D1"/>
    <w:rsid w:val="00E82C00"/>
    <w:rsid w:val="00E83707"/>
    <w:rsid w:val="00E837CE"/>
    <w:rsid w:val="00E83854"/>
    <w:rsid w:val="00E83D85"/>
    <w:rsid w:val="00E856C4"/>
    <w:rsid w:val="00E86882"/>
    <w:rsid w:val="00E86C8A"/>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B7FF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93209"/>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
      </w:numPr>
      <w:spacing w:before="360"/>
      <w:ind w:left="431" w:hanging="431"/>
      <w:outlineLvl w:val="0"/>
    </w:pPr>
    <w:rPr>
      <w:b/>
      <w:sz w:val="24"/>
    </w:rPr>
  </w:style>
  <w:style w:type="paragraph" w:styleId="Heading2">
    <w:name w:val="heading 2"/>
    <w:basedOn w:val="Normal"/>
    <w:next w:val="Normal"/>
    <w:qFormat/>
    <w:rsid w:val="003B430D"/>
    <w:pPr>
      <w:keepNext/>
      <w:numPr>
        <w:ilvl w:val="1"/>
        <w:numId w:val="4"/>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link w:val="TAHChar"/>
    <w:rsid w:val="00397A2A"/>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3D0DF9"/>
    <w:pPr>
      <w:ind w:left="567" w:hanging="567"/>
    </w:pPr>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3D0DF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1"/>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97A2A"/>
    <w:pPr>
      <w:keepNext/>
      <w:spacing w:after="60"/>
    </w:pPr>
    <w:rPr>
      <w:bCs/>
      <w:sz w:val="18"/>
      <w:lang w:val="en-US"/>
    </w:rPr>
  </w:style>
  <w:style w:type="paragraph" w:customStyle="1" w:styleId="Normalafterfloat">
    <w:name w:val="Normal after float"/>
    <w:basedOn w:val="Normal"/>
    <w:qFormat/>
    <w:rsid w:val="00E72B10"/>
    <w:pPr>
      <w:spacing w:before="180"/>
    </w:pPr>
    <w:rPr>
      <w:lang w:val="en-US"/>
    </w:rPr>
  </w:style>
  <w:style w:type="character" w:styleId="LineNumber">
    <w:name w:val="line number"/>
    <w:basedOn w:val="DefaultParagraphFont"/>
    <w:rsid w:val="007F5200"/>
  </w:style>
  <w:style w:type="paragraph" w:customStyle="1" w:styleId="TAN">
    <w:name w:val="TAN"/>
    <w:basedOn w:val="TAL"/>
    <w:rsid w:val="00494DF9"/>
    <w:pPr>
      <w:widowControl/>
      <w:overflowPunct w:val="0"/>
      <w:autoSpaceDE w:val="0"/>
      <w:autoSpaceDN w:val="0"/>
      <w:adjustRightInd w:val="0"/>
      <w:spacing w:before="120" w:after="0" w:line="240" w:lineRule="auto"/>
      <w:ind w:left="851" w:hanging="851"/>
      <w:textAlignment w:val="baseline"/>
    </w:pPr>
    <w:rPr>
      <w:rFonts w:eastAsia="Times New Roman"/>
      <w:bCs w:val="0"/>
      <w:lang w:val="en-GB"/>
    </w:rPr>
  </w:style>
  <w:style w:type="character" w:customStyle="1" w:styleId="Code">
    <w:name w:val="Code"/>
    <w:uiPriority w:val="1"/>
    <w:qFormat/>
    <w:rsid w:val="005E5BE6"/>
    <w:rPr>
      <w:rFonts w:ascii="Arial" w:hAnsi="Arial"/>
      <w:i/>
      <w:noProof/>
      <w:spacing w:val="-4"/>
      <w:sz w:val="18"/>
      <w:bdr w:val="none" w:sz="0" w:space="0" w:color="auto"/>
      <w:shd w:val="clear" w:color="auto" w:fill="auto"/>
    </w:rPr>
  </w:style>
  <w:style w:type="paragraph" w:customStyle="1" w:styleId="StyleTALBefore6pt">
    <w:name w:val="Style TAL + Before:  6 pt"/>
    <w:basedOn w:val="TAL"/>
    <w:rsid w:val="00CA3500"/>
    <w:pPr>
      <w:spacing w:before="180"/>
    </w:pPr>
    <w:rPr>
      <w:rFonts w:eastAsia="Times New Roman"/>
      <w:bCs w:val="0"/>
    </w:rPr>
  </w:style>
  <w:style w:type="paragraph" w:customStyle="1" w:styleId="TAC">
    <w:name w:val="TAC"/>
    <w:basedOn w:val="TAL"/>
    <w:link w:val="TACChar"/>
    <w:rsid w:val="005E5BE6"/>
    <w:pPr>
      <w:widowControl/>
      <w:spacing w:after="0" w:line="240" w:lineRule="auto"/>
      <w:jc w:val="center"/>
    </w:pPr>
    <w:rPr>
      <w:rFonts w:eastAsia="Times New Roman"/>
      <w:bCs w:val="0"/>
      <w:lang w:val="en-GB"/>
    </w:rPr>
  </w:style>
  <w:style w:type="character" w:customStyle="1" w:styleId="TAHChar">
    <w:name w:val="TAH Char"/>
    <w:link w:val="TAH"/>
    <w:rsid w:val="00397A2A"/>
    <w:rPr>
      <w:rFonts w:ascii="Arial" w:hAnsi="Arial"/>
      <w:b/>
      <w:sz w:val="18"/>
      <w:lang w:val="en-GB"/>
    </w:rPr>
  </w:style>
  <w:style w:type="character" w:customStyle="1" w:styleId="TALChar">
    <w:name w:val="TAL Char"/>
    <w:link w:val="TAL"/>
    <w:qFormat/>
    <w:rsid w:val="00397A2A"/>
    <w:rPr>
      <w:rFonts w:ascii="Arial" w:hAnsi="Arial"/>
      <w:bCs/>
      <w:sz w:val="18"/>
    </w:rPr>
  </w:style>
  <w:style w:type="character" w:customStyle="1" w:styleId="TACChar">
    <w:name w:val="TAC Char"/>
    <w:link w:val="TAC"/>
    <w:rsid w:val="005E5BE6"/>
    <w:rPr>
      <w:rFonts w:ascii="Arial" w:eastAsia="Times New Roman" w:hAnsi="Arial"/>
      <w:sz w:val="18"/>
      <w:lang w:val="en-GB"/>
    </w:rPr>
  </w:style>
  <w:style w:type="paragraph" w:customStyle="1" w:styleId="TALcontinuation">
    <w:name w:val="TAL continuation"/>
    <w:basedOn w:val="TAL"/>
    <w:qFormat/>
    <w:rsid w:val="005E5BE6"/>
    <w:pPr>
      <w:keepNext w:val="0"/>
      <w:widowControl/>
      <w:spacing w:beforeLines="25" w:before="25" w:after="0" w:line="240" w:lineRule="auto"/>
    </w:pPr>
    <w:rPr>
      <w:rFonts w:eastAsia="Times New Roman"/>
      <w:bCs w:val="0"/>
    </w:rPr>
  </w:style>
  <w:style w:type="paragraph" w:customStyle="1" w:styleId="TH">
    <w:name w:val="TH"/>
    <w:basedOn w:val="Normal"/>
    <w:link w:val="THChar"/>
    <w:qFormat/>
    <w:rsid w:val="005E5BE6"/>
    <w:pPr>
      <w:keepNext/>
      <w:widowControl/>
      <w:spacing w:before="60" w:after="180" w:line="240" w:lineRule="auto"/>
      <w:jc w:val="center"/>
    </w:pPr>
    <w:rPr>
      <w:rFonts w:eastAsia="Times New Roman"/>
      <w:b/>
      <w:sz w:val="20"/>
    </w:rPr>
  </w:style>
  <w:style w:type="character" w:customStyle="1" w:styleId="THChar">
    <w:name w:val="TH Char"/>
    <w:link w:val="TH"/>
    <w:qFormat/>
    <w:locked/>
    <w:rsid w:val="005E5BE6"/>
    <w:rPr>
      <w:rFonts w:ascii="Arial" w:eastAsia="Times New Roman" w:hAnsi="Arial"/>
      <w:b/>
      <w:lang w:val="en-GB"/>
    </w:rPr>
  </w:style>
  <w:style w:type="character" w:customStyle="1" w:styleId="HTTPMethod">
    <w:name w:val="HTTP Method"/>
    <w:uiPriority w:val="1"/>
    <w:qFormat/>
    <w:rsid w:val="004F357E"/>
    <w:rPr>
      <w:rFonts w:ascii="Courier New" w:hAnsi="Courier New"/>
      <w:i w:val="0"/>
      <w:sz w:val="18"/>
    </w:rPr>
  </w:style>
  <w:style w:type="paragraph" w:customStyle="1" w:styleId="ListParagraphLargeindent">
    <w:name w:val="List Paragraph (Large indent)"/>
    <w:basedOn w:val="ListParagraph"/>
    <w:qFormat/>
    <w:rsid w:val="007F3FAE"/>
    <w:pPr>
      <w:keepNext/>
      <w:keepLines w:val="0"/>
      <w:widowControl/>
      <w:numPr>
        <w:numId w:val="10"/>
      </w:numPr>
      <w:spacing w:line="259" w:lineRule="auto"/>
      <w:ind w:left="1321" w:hanging="964"/>
    </w:pPr>
    <w:rPr>
      <w:rFonts w:eastAsiaTheme="minorHAnsi" w:cstheme="minorBidi"/>
      <w:szCs w:val="22"/>
    </w:rPr>
  </w:style>
  <w:style w:type="paragraph" w:customStyle="1" w:styleId="StyleListParagraphAfter8ptLinespacingMultiple108li">
    <w:name w:val="Style List Paragraph + After:  8 pt Line spacing:  Multiple 1.08 li"/>
    <w:basedOn w:val="ListParagraph"/>
    <w:rsid w:val="003D0DF9"/>
    <w:pPr>
      <w:spacing w:after="240" w:line="259"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4DF7C2D5-63E4-4898-939C-9F06C678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1183</TotalTime>
  <Pages>5</Pages>
  <Words>1597</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DVB-MABR: Dynamic Adaptive Streaming for IP Multicast</vt:lpstr>
      <vt:lpstr>DESUDAPS Project Plan</vt:lpstr>
    </vt:vector>
  </TitlesOfParts>
  <Company>BBC Research &amp; Development</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DVB-MABR: Dynamic Adaptive Streaming for IP Multicast</dc:title>
  <dc:subject/>
  <dc:creator>Richard Bradbury</dc:creator>
  <cp:keywords/>
  <cp:lastModifiedBy>Richard Bradbury</cp:lastModifiedBy>
  <cp:revision>15</cp:revision>
  <cp:lastPrinted>2012-10-31T13:50:00Z</cp:lastPrinted>
  <dcterms:created xsi:type="dcterms:W3CDTF">2020-06-22T15:15:00Z</dcterms:created>
  <dcterms:modified xsi:type="dcterms:W3CDTF">2020-06-23T14:35:00Z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